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ГОУ ЯО «Ярославская школа №38»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на ПМПк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 приказом директора школы №38</w:t>
      </w:r>
      <w:r/>
    </w:p>
    <w:p>
      <w:pPr>
        <w:ind w:left="4680" w:hanging="4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протокол № 26 от 15.10.2020 г.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№ 01-10/466 от 15.10.2020 г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fill="FFFFFF" w:color="FFFFFF"/>
        </w:rPr>
        <w:t xml:space="preserve">Развитие познавательных интересов и познавательных способностей детей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дополнительная общеобразовательная общеразвивающая программа для лагеря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реализации: июнь 2021г </w:t>
      </w:r>
      <w:r/>
    </w:p>
    <w:p>
      <w:pPr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right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Автор-составитель:</w:t>
      </w:r>
      <w:r/>
    </w:p>
    <w:p>
      <w:pPr>
        <w:jc w:val="right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Опарова Н.А </w:t>
      </w:r>
      <w:r/>
    </w:p>
    <w:p>
      <w:pPr>
        <w:jc w:val="right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учитель-дефектолог;</w:t>
      </w:r>
      <w:r/>
    </w:p>
    <w:p>
      <w:pPr>
        <w:jc w:val="right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Рогунова Ю.В </w:t>
      </w:r>
      <w:r/>
    </w:p>
    <w:p>
      <w:pPr>
        <w:jc w:val="right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lineRule="atLeast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5721350</wp:posOffset>
                </wp:positionH>
                <wp:positionV relativeFrom="paragraph">
                  <wp:posOffset>346075</wp:posOffset>
                </wp:positionV>
                <wp:extent cx="513715" cy="400685"/>
                <wp:effectExtent l="6350" t="12700" r="13335" b="5715"/>
                <wp:wrapNone/>
                <wp:docPr id="1" name="Прямоугольник 2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715" cy="4006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0;o:allowoverlap:true;o:allowincell:true;mso-position-horizontal-relative:text;margin-left:450.5pt;mso-position-horizontal:absolute;mso-position-vertical-relative:text;margin-top:27.2pt;mso-position-vertical:absolute;width:40.4pt;height:31.5pt;" coordsize="100000,100000" path="" fillcolor="#FFFFFF" strokecolor="#FFFFFF" strokeweight="0.75pt">
                <v:path textboxrect="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2020-2021 учебный год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</w:r>
      <w:r/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85"/>
        <w:numPr>
          <w:ilvl w:val="0"/>
          <w:numId w:val="10"/>
        </w:numPr>
        <w:ind w:left="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</w:t>
      </w:r>
      <w:r>
        <w:rPr>
          <w:sz w:val="28"/>
          <w:szCs w:val="28"/>
        </w:rPr>
        <w:t xml:space="preserve">……………………………………………………</w:t>
      </w:r>
      <w:r>
        <w:rPr>
          <w:sz w:val="28"/>
          <w:szCs w:val="28"/>
        </w:rPr>
        <w:t xml:space="preserve">….…3</w:t>
      </w:r>
      <w:r/>
    </w:p>
    <w:p>
      <w:pPr>
        <w:pStyle w:val="685"/>
        <w:numPr>
          <w:ilvl w:val="0"/>
          <w:numId w:val="10"/>
        </w:numPr>
        <w:ind w:left="0"/>
        <w:jc w:val="both"/>
        <w:spacing w:lineRule="auto" w:line="3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Цель и задачи реализации рабочей программы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…………...</w:t>
      </w:r>
      <w:r>
        <w:rPr>
          <w:sz w:val="28"/>
          <w:szCs w:val="28"/>
        </w:rPr>
        <w:t xml:space="preserve">......</w:t>
      </w:r>
      <w:r>
        <w:rPr>
          <w:sz w:val="28"/>
          <w:szCs w:val="28"/>
        </w:rPr>
        <w:t xml:space="preserve">……………...5</w:t>
      </w:r>
      <w:r/>
    </w:p>
    <w:p>
      <w:pPr>
        <w:pStyle w:val="685"/>
        <w:numPr>
          <w:ilvl w:val="0"/>
          <w:numId w:val="10"/>
        </w:numPr>
        <w:ind w:left="0"/>
        <w:jc w:val="both"/>
        <w:spacing w:lineRule="auto" w:line="36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Планируемые результаты освоения программы</w:t>
      </w:r>
      <w:r>
        <w:rPr>
          <w:sz w:val="28"/>
          <w:szCs w:val="28"/>
        </w:rPr>
        <w:t xml:space="preserve"> …………</w:t>
      </w:r>
      <w:r>
        <w:rPr>
          <w:sz w:val="28"/>
          <w:szCs w:val="28"/>
        </w:rPr>
        <w:t xml:space="preserve">………………</w:t>
      </w:r>
      <w:r>
        <w:rPr>
          <w:sz w:val="28"/>
          <w:szCs w:val="28"/>
        </w:rPr>
        <w:t xml:space="preserve">…..</w:t>
      </w:r>
      <w:r>
        <w:rPr>
          <w:sz w:val="28"/>
          <w:szCs w:val="28"/>
        </w:rPr>
        <w:t xml:space="preserve">11</w:t>
      </w:r>
      <w:r/>
    </w:p>
    <w:p>
      <w:pPr>
        <w:pStyle w:val="685"/>
        <w:numPr>
          <w:ilvl w:val="0"/>
          <w:numId w:val="10"/>
        </w:numPr>
        <w:ind w:left="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Календарно- тематическое планирование</w:t>
      </w:r>
      <w:r>
        <w:rPr>
          <w:sz w:val="28"/>
          <w:szCs w:val="28"/>
        </w:rPr>
        <w:t xml:space="preserve">.…………………</w:t>
      </w:r>
      <w:r>
        <w:rPr>
          <w:sz w:val="28"/>
          <w:szCs w:val="28"/>
        </w:rPr>
        <w:t xml:space="preserve">……</w:t>
      </w:r>
      <w:r>
        <w:rPr>
          <w:sz w:val="28"/>
          <w:szCs w:val="28"/>
        </w:rPr>
        <w:t xml:space="preserve">………..</w:t>
      </w:r>
      <w:r>
        <w:rPr>
          <w:sz w:val="28"/>
          <w:szCs w:val="28"/>
        </w:rPr>
        <w:t xml:space="preserve">…</w:t>
      </w:r>
      <w:r>
        <w:rPr>
          <w:sz w:val="28"/>
          <w:szCs w:val="28"/>
        </w:rPr>
        <w:t xml:space="preserve">...12</w:t>
      </w:r>
      <w:r/>
    </w:p>
    <w:p>
      <w:pPr>
        <w:pStyle w:val="685"/>
        <w:numPr>
          <w:ilvl w:val="0"/>
          <w:numId w:val="10"/>
        </w:numPr>
        <w:ind w:left="0"/>
        <w:jc w:val="both"/>
        <w:spacing w:lineRule="auto" w:line="360"/>
        <w:rPr>
          <w:sz w:val="28"/>
          <w:szCs w:val="28"/>
        </w:rPr>
      </w:pPr>
      <w:r>
        <w:rPr>
          <w:sz w:val="28"/>
          <w:szCs w:val="28"/>
        </w:rPr>
        <w:t xml:space="preserve">Список информационных источников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……….</w:t>
      </w:r>
      <w:r>
        <w:rPr>
          <w:sz w:val="28"/>
          <w:szCs w:val="28"/>
        </w:rPr>
        <w:t xml:space="preserve">…………………....</w:t>
      </w:r>
      <w:r>
        <w:rPr>
          <w:sz w:val="28"/>
          <w:szCs w:val="28"/>
        </w:rPr>
        <w:t xml:space="preserve">...........</w:t>
      </w:r>
      <w:r>
        <w:rPr>
          <w:sz w:val="28"/>
          <w:szCs w:val="28"/>
        </w:rPr>
        <w:t xml:space="preserve">..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....</w:t>
      </w:r>
      <w:r>
        <w:rPr>
          <w:sz w:val="28"/>
          <w:szCs w:val="28"/>
        </w:rPr>
        <w:t xml:space="preserve">15</w:t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/>
      <w:bookmarkStart w:id="0" w:name="_GoBack"/>
      <w:r/>
      <w:bookmarkEnd w:id="0"/>
      <w:r/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jc w:val="center"/>
        <w:spacing w:lineRule="auto" w:line="36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</w:r>
      <w:r/>
    </w:p>
    <w:p>
      <w:pPr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95885</wp:posOffset>
                </wp:positionV>
                <wp:extent cx="606425" cy="441960"/>
                <wp:effectExtent l="10160" t="10160" r="12065" b="5080"/>
                <wp:wrapNone/>
                <wp:docPr id="2" name="Прямоугольник 1" hidden="fal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441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9264;o:allowoverlap:true;o:allowincell:true;mso-position-horizontal-relative:text;margin-left:434.3pt;mso-position-horizontal:absolute;mso-position-vertical-relative:text;margin-top:7.5pt;mso-position-vertical:absolute;width:47.8pt;height:34.8pt;" coordsize="100000,100000" path="" fillcolor="#FFFFFF" strokecolor="#FFFFFF" strokeweight="0.75pt">
                <v:path textboxrect="0,0,0,0"/>
              </v:shape>
            </w:pict>
          </mc:Fallback>
        </mc:AlternateConten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Пояснительная записка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Рабочая программа определяет содержание и организацию образовательной деятельности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оздоровительном лагере с дневной формой пребывания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 ОВЗ «Радуга» по познавательному развитию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 направлена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fill="FFFFFF" w:color="FFFFFF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на создание условий развития школьников, открывающих возможности  для позитивной социализации ребёнка, его всестороннего личностного развития, развития инициативы и творческих способностей на основе сотрудничест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ва со взрослыми и сверстниками,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соответствующих возрасту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психофизическим особенностям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видам деятельности.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Реализация рабочей программы осуществляется в процессе разнообразных видов деятельности: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Образовательная деятельность, осуществляемая в ходе режимных моментов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Самостоятельная деятельность детей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Взаимодействие с семьями детей по реализации рабочей программы.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Таким образом,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осуществляется в совместной деятельности взрослых и детей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лагеря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Содержание рабочей программы включает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совокупность образовательной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области, которая обеспечивает разностороннее развитие детей с учетом их возрастных и индивидуальных особенностей по основному направлению – познавательному развитию.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Данная рабочая программа разработана в связи с внедрением ФГОС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образовательный процесс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ГОУ ЯО «Ярославская школа №38»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. Данная рабочая программа является нормативно-управленческим документом школьного образовательного учреждения, характеризующим систему организации образовательной деятельности педагога в рамках образовательной области «Познавательное развитие».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Рабочая программа построена на основе учета конкретных условий, образовательных потребностей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 особенностей развития детей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школьного возраста.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Срок реализации программы –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 дней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 01.06 по 25.06.2021 г.)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условия: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-Закон «Об образовании РФ»;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Санитарно-эпидемиологические требования к устройству, содержанию и организации режима работы дошкольных образовательных организаций» (</w:t>
      </w:r>
      <w:r>
        <w:rPr>
          <w:rFonts w:ascii="Times New Roman" w:hAnsi="Times New Roman" w:cs="Times New Roman" w:eastAsia="Times New Roman"/>
          <w:sz w:val="28"/>
          <w:szCs w:val="28"/>
          <w:shd w:val="clear" w:fill="FCFCFA" w:color="FCFCFA"/>
          <w:lang w:eastAsia="ru-RU"/>
        </w:rPr>
        <w:t xml:space="preserve">Утверждены постановлением Главного государственного санитарного врача Российской 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15 мая 2013 года №26  «Об утверждении САНПИН» 2.4.3049-13).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-Конвенция о правах ребенка, ООН, 1991г.;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-Всемирная Декларация об обеспечении выживания, защиты и развития детей 30.09.1990г.;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-Положение о школьном лагере дневного пребывания;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 внутреннего распорядка лагеря дневного пребывания; 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-Правила по технике безопасности, пожарной безопасности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1.1.Цель и задачи реализации рабочей программы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Цель: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Развитие познавательных интересов и познавательных способностей детей.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Задачи: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мотивации.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Формирование познавательных действий, становление сознания.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Развитие воображения и творческой активности.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себе,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</w:t>
      </w:r>
      <w:r/>
    </w:p>
    <w:p>
      <w:pPr>
        <w:numPr>
          <w:ilvl w:val="0"/>
          <w:numId w:val="2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планете Земля как общем доме людей, об особенностях её природы, многообразии стран и народов.</w:t>
      </w:r>
      <w:r/>
    </w:p>
    <w:p>
      <w:pPr>
        <w:ind w:left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1.2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Формирование элементарных математических представлений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Цель: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Развивающие задачи ФЭМП: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Формировать представление о числе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Формировать геометрические представления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)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Развивать сенсорные возможности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Формировать навыки выражения количества через число (формирование навыков счета и измерения различных величин</w:t>
      </w:r>
      <w:r/>
    </w:p>
    <w:p>
      <w:pPr>
        <w:numPr>
          <w:ilvl w:val="0"/>
          <w:numId w:val="3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</w:t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 Принципы организации работы по развитию элементарных математических представлений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Формирование математических представлений на основе перцептивных (ручных) действий детей,  накопления чувственного опыта и его осмысления    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Использование разнообразного и разнопланового  дидактического материала, позволяющего обобщить понятия «число», «множество», «форма»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Возможность сочетания самостоятельной деятельности детей и их разнообразного взаимодействия при освоении математических понятий</w:t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1.3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Развитие познавательно-исследовательской деятельности.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Развивающие задачи: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ия; развитие воображения и творческой активности; формирование  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др).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Развитие восприяти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   Принципы исследовательского обучения</w:t>
      </w:r>
      <w:r/>
    </w:p>
    <w:p>
      <w:pPr>
        <w:numPr>
          <w:ilvl w:val="0"/>
          <w:numId w:val="5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</w:t>
      </w:r>
      <w:r/>
    </w:p>
    <w:p>
      <w:pPr>
        <w:numPr>
          <w:ilvl w:val="0"/>
          <w:numId w:val="5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опоры на развитие умений самостоятельного поиска информации;</w:t>
      </w:r>
      <w:r/>
    </w:p>
    <w:p>
      <w:pPr>
        <w:numPr>
          <w:ilvl w:val="0"/>
          <w:numId w:val="5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</w:t>
      </w:r>
      <w:r/>
    </w:p>
    <w:p>
      <w:pPr>
        <w:numPr>
          <w:ilvl w:val="0"/>
          <w:numId w:val="5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формирования представлений об исследовании как стиле жизни.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Пути создания проблемных ситуаций, личностно значимых для ребенка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</w:t>
      </w:r>
      <w:r/>
    </w:p>
    <w:p>
      <w:pPr>
        <w:numPr>
          <w:ilvl w:val="0"/>
          <w:numId w:val="6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преднамеренное столкновение жизненных представлений детей с научными фактами, объяснить которые они не могут- не хватает знаний, жизненного опыта;</w:t>
      </w:r>
      <w:r/>
    </w:p>
    <w:p>
      <w:pPr>
        <w:numPr>
          <w:ilvl w:val="0"/>
          <w:numId w:val="6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преднамеренное побуждение детей к решению новых задач старыми способами;</w:t>
      </w:r>
      <w:r/>
    </w:p>
    <w:p>
      <w:pPr>
        <w:numPr>
          <w:ilvl w:val="0"/>
          <w:numId w:val="6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побуждение дете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    Методические приемы: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</w:t>
      </w:r>
      <w:r/>
    </w:p>
    <w:p>
      <w:pPr>
        <w:numPr>
          <w:ilvl w:val="0"/>
          <w:numId w:val="7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подведение детей к противоречию и предложение самостоятельно найти способ его разрешения; </w:t>
      </w:r>
      <w:r>
        <w:rPr>
          <w:rFonts w:ascii="Times New Roman" w:hAnsi="Times New Roman" w:cs="Times New Roman" w:eastAsia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изложение различных точек зрения на один и тот же вопрос;</w:t>
      </w:r>
      <w:r/>
    </w:p>
    <w:p>
      <w:pPr>
        <w:numPr>
          <w:ilvl w:val="0"/>
          <w:numId w:val="7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предложение детям рассмотреть явление с различных позиций;</w:t>
      </w:r>
      <w:r/>
    </w:p>
    <w:p>
      <w:pPr>
        <w:numPr>
          <w:ilvl w:val="0"/>
          <w:numId w:val="7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побуждение детей к сравнению, обобщению, выводам из ситуации, сопоставлению фактов;</w:t>
      </w:r>
      <w:r/>
    </w:p>
    <w:p>
      <w:pPr>
        <w:numPr>
          <w:ilvl w:val="0"/>
          <w:numId w:val="7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постановка конкретных вопросов на обобщение, обоснование, конкретизацию, логику, рассуждения;</w:t>
      </w:r>
      <w:r/>
    </w:p>
    <w:p>
      <w:pPr>
        <w:numPr>
          <w:ilvl w:val="0"/>
          <w:numId w:val="7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</w:t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Ознакомление с предметным окружением.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Развивающие задачи: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ознакомление с предметным миром (название, функция, название, свойства и качества предмета); восприятие предмета как творения человеческой мысли и результата труда.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Формирование первичных представлений о многообразии предметно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причинно-следственные связи между миром предметов и природным миром.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Ознакомление с социальным миром.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Развивающие задачи: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радициях и праздниках. Формирование гражданской принадлежности; воспитание любови к Родине, гордости за ее достижения, патриотических чувств. Формирование элементарных представлений о планете Земле как общем доме людей, о многообразии стран и народов мира.</w:t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Ознакомление с миром природы.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Развивающие задачи: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ознакомление с природой и природными явлениями. Разви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 Воспитание любви к природе, желания беречь ее.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pStyle w:val="685"/>
        <w:numPr>
          <w:ilvl w:val="1"/>
          <w:numId w:val="11"/>
        </w:numPr>
        <w:jc w:val="both"/>
        <w:spacing w:lineRule="auto" w:line="360"/>
        <w:shd w:val="clear" w:fill="FFFFFF" w:color="FFFFFF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</w:t>
      </w:r>
      <w:r>
        <w:rPr>
          <w:b/>
          <w:bCs/>
          <w:color w:val="000000"/>
          <w:sz w:val="28"/>
          <w:szCs w:val="28"/>
        </w:rPr>
        <w:t xml:space="preserve">нципы и подходы к формированию п</w:t>
      </w:r>
      <w:r>
        <w:rPr>
          <w:b/>
          <w:bCs/>
          <w:color w:val="000000"/>
          <w:sz w:val="28"/>
          <w:szCs w:val="28"/>
        </w:rPr>
        <w:t xml:space="preserve">рограммы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Процесс познавательного развития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обучающихся строя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тся с учетом общедидактических и методических принципов, поскольку именно они  являются руководящей идеей организации познавательного развития детей:</w:t>
      </w:r>
      <w:r/>
    </w:p>
    <w:p>
      <w:pPr>
        <w:numPr>
          <w:ilvl w:val="0"/>
          <w:numId w:val="9"/>
        </w:numPr>
        <w:ind w:left="0"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соответствует принципу развивающего образования, целью которого является развитие ребенка;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обеспечивает единство воспитательных, развивающих и обучающих целей 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задач процесса образования обучающихся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в ходе реализации которых формируются такие качества, которые являются ключевыми в развитии школьников;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основывается на комплексно-тематическом принципе построения образовательного процесса;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предусматривает решение программных образовате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обучающимися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ведущим видом их деятельности является игра;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допускает варьирование образовательного процесса в зависимости от региональных особенностей;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строится с учетом соблюдения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возрастных особенностей.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Достижению целей и задач рабочей программы способствуют культурологический, познавательно-коммуникативный, информационный и деятельностный подходы, в русле которых проводится отбор содержания материала, его структурирование.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   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ru-RU"/>
        </w:rPr>
        <w:t xml:space="preserve">1.4.Планируемые результаты освоения программы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Обучающийся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овладевает основными культурными средствами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способами деятельности, проявляет инициативу и самостоятельность в разных видах деятельности — игре, общении, познавательно-исследовательской  деятельности, конструировании и др.; способен выбирать себе род занятий, участников по совместной деятельности.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Обучающийся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Обучающийся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проявляет любознательность, задает вопросы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педагогам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 сверстникам, инт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ом с произведениями детской литературы, обладает элементарными представлениями из области живой природы, естествознания, математики,  истории и т. п.; способен к принятию собственных решений, опираясь на свои знания и умения в различных видах деятельности.</w:t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360" w:after="0"/>
        <w:shd w:val="clear" w:fill="FFFFFF" w:color="FFFF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Календарно- тематическое планирование</w:t>
      </w:r>
      <w:r/>
    </w:p>
    <w:tbl>
      <w:tblPr>
        <w:tblpPr w:horzAnchor="page" w:tblpX="1888" w:vertAnchor="text" w:tblpY="239" w:leftFromText="180" w:topFromText="0" w:rightFromText="180" w:bottomFromText="200"/>
        <w:tblW w:w="13909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35"/>
        <w:gridCol w:w="930"/>
        <w:gridCol w:w="2307"/>
        <w:gridCol w:w="2633"/>
        <w:gridCol w:w="2189"/>
        <w:gridCol w:w="2315"/>
      </w:tblGrid>
      <w:tr>
        <w:trPr>
          <w:cantSplit/>
          <w:trHeight w:val="77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Тема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308" w:type="dxa"/>
            <w:vAlign w:val="center"/>
            <w:vMerge w:val="restart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fill="FFFFFF" w:color="FFFFFF"/>
              </w:rPr>
              <w:t xml:space="preserve">Развитие интеллектуально-познавательных способностей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fill="FFFFFF" w:color="FFFFFF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64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fill="FFFFFF" w:color="FFFFFF"/>
              </w:rPr>
              <w:t xml:space="preserve">Развитие сенсорных</w:t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fill="FFFFFF" w:color="FFFFFF"/>
              </w:rPr>
              <w:t xml:space="preserve">способностей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none" w:color="000000" w:sz="4" w:space="0"/>
            </w:tcBorders>
            <w:tcW w:w="218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fill="FFFFFF" w:color="FFFFFF"/>
              </w:rPr>
              <w:t xml:space="preserve">Развитие интеллектуально-творческих способностей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231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spacing w:lineRule="auto" w:line="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Оборудование</w:t>
            </w:r>
            <w:r/>
          </w:p>
        </w:tc>
      </w:tr>
      <w:tr>
        <w:trPr>
          <w:cantSplit/>
          <w:trHeight w:val="18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vMerge w:val="continue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vMerge w:val="continue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none" w:color="000000" w:sz="4" w:space="0"/>
            </w:tcBorders>
            <w:tcW w:w="230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6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none" w:color="000000" w:sz="4" w:space="0"/>
            </w:tcBorders>
            <w:tcW w:w="2186" w:type="dxa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none" w:color="000000" w:sz="4" w:space="0"/>
            </w:tcBorders>
            <w:tcW w:w="2318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cantSplit/>
          <w:trHeight w:val="18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textDirection w:val="lrTb"/>
            <w:noWrap w:val="false"/>
          </w:tcPr>
          <w:p>
            <w:pPr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«Волшебное путешествие»</w:t>
            </w:r>
            <w:r/>
          </w:p>
          <w:p>
            <w:pPr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fill="FFFFFF" w:color="FFFFFF"/>
              </w:rPr>
              <w:t xml:space="preserve">ФЦКМ</w:t>
            </w:r>
            <w:r/>
          </w:p>
          <w:p>
            <w:pPr>
              <w:jc w:val="both"/>
              <w:spacing w:lineRule="auto" w:line="2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Определять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положение  окружающих предметов в пространстве и положение своего тела в нем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сравнивать предметы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 величине, строению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устанавливать простые связи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у явлениями и между предметами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дидактические игры</w:t>
            </w:r>
            <w:r/>
          </w:p>
        </w:tc>
      </w:tr>
      <w:tr>
        <w:trPr>
          <w:cantSplit/>
          <w:trHeight w:val="155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по зоопарку»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fill="FFFFFF" w:color="FFFFFF"/>
              </w:rPr>
              <w:t xml:space="preserve">ФЭМП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 в предел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ах освоенных чисел и определении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отношение предыдущего и последующего в числовом ряду;</w:t>
            </w:r>
            <w:r>
              <w:rPr>
                <w:color w:val="000000"/>
                <w:sz w:val="28"/>
                <w:szCs w:val="28"/>
                <w:shd w:val="clear" w:fill="FFFFFF" w:color="FFFFFF"/>
              </w:rPr>
              <w:t xml:space="preserve"> 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предсказывать изменения предметов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 результате воздействия на них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выделять характерные детали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дидактические игры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лексической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«Животные»</w:t>
            </w:r>
            <w:r/>
          </w:p>
        </w:tc>
      </w:tr>
      <w:tr>
        <w:trPr>
          <w:cantSplit/>
          <w:trHeight w:val="115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сказки»</w:t>
            </w:r>
            <w:r/>
          </w:p>
          <w:p>
            <w:pPr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fill="FFFFFF" w:color="FFFFFF"/>
              </w:rPr>
              <w:t xml:space="preserve">ФЦКМ</w:t>
            </w:r>
            <w:r/>
          </w:p>
          <w:p>
            <w:pPr>
              <w:jc w:val="both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находить причины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и следствие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сравнивать предметы по форме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устанавливать простые связи межд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у явлениями и между предметами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использование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ической темы: «Сказки»</w:t>
            </w:r>
            <w:r/>
          </w:p>
        </w:tc>
      </w:tr>
      <w:tr>
        <w:trPr>
          <w:cantSplit/>
          <w:trHeight w:val="9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17.06 «Дорожная азбука»</w:t>
            </w:r>
            <w:r/>
          </w:p>
          <w:p>
            <w:pPr>
              <w:jc w:val="both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fill="FFFFFF" w:color="FFFFFF"/>
              </w:rPr>
              <w:t xml:space="preserve">Предметное и социальное окружение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умение классифицировать предметы по общим качествам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прогнозировать эффект от своих действий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выделять характерные детали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дидактические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«Правила дорожного движения»</w:t>
            </w:r>
            <w:r/>
          </w:p>
        </w:tc>
      </w:tr>
      <w:tr>
        <w:trPr>
          <w:cantSplit/>
          <w:trHeight w:val="99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гостях у сказки»</w:t>
            </w:r>
            <w:r/>
          </w:p>
          <w:p>
            <w:pPr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fill="FFFFFF" w:color="FFFFFF"/>
              </w:rPr>
              <w:t xml:space="preserve">ФЦКМ</w:t>
            </w:r>
            <w:r>
              <w:rPr>
                <w:rFonts w:ascii="Times New Roman" w:hAnsi="Times New Roman" w:cs="Times New Roman"/>
                <w:bCs/>
                <w:color w:val="333333"/>
                <w:sz w:val="27"/>
                <w:szCs w:val="27"/>
                <w:shd w:val="clear" w:fill="FFFFFF" w:color="FFFFFF"/>
              </w:rPr>
              <w:t xml:space="preserve"> </w:t>
            </w:r>
            <w:r/>
          </w:p>
          <w:p>
            <w:pPr>
              <w:jc w:val="both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считать со сменой основания; выделять формы окружающих предметов,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сравнивать предметы по  положению в пространстве, цвету;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выделять краси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вые сочетания цветов и оттенков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дидактические игры</w:t>
            </w:r>
            <w:r/>
          </w:p>
        </w:tc>
      </w:tr>
      <w:tr>
        <w:trPr>
          <w:cantSplit/>
          <w:trHeight w:val="9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549" w:type="dxa"/>
            <w:textDirection w:val="lrTb"/>
            <w:noWrap w:val="false"/>
          </w:tcPr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Айболита»</w:t>
            </w:r>
            <w:r/>
          </w:p>
          <w:p>
            <w:pPr>
              <w:jc w:val="both"/>
              <w:spacing w:lineRule="auto" w:line="36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</w:t>
            </w:r>
            <w:r/>
          </w:p>
          <w:p>
            <w:pPr>
              <w:jc w:val="both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12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0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делить предметы на равные и не равные части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63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соотношение части и целого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86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fill="FFFFFF" w:color="FFFFFF"/>
              </w:rPr>
              <w:t xml:space="preserve">выделять характерные детали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318" w:type="dxa"/>
            <w:textDirection w:val="lrTb"/>
            <w:noWrap w:val="false"/>
          </w:tcPr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игрушки,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заданиями, дидактическое пособие</w:t>
            </w:r>
            <w:r/>
          </w:p>
          <w:p>
            <w:p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лексической темы: «Безопасные каникулы»</w:t>
            </w:r>
            <w:r/>
          </w:p>
        </w:tc>
      </w:tr>
    </w:tbl>
    <w:p>
      <w:pPr>
        <w:ind w:firstLine="0"/>
        <w:jc w:val="both"/>
        <w:spacing w:lineRule="auto" w:line="36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информационных источников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Григоренко Ю.Н., Кострецова У.Ю., Кипарис-2: Учебное пособие по организации детского досуга в детских лагерях и школе. – М.:Педагогическое общество России, 2002.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2. Гузенко А.П. Как сделать отдых детей незабываемым праздником. Волгоград: Учитель, 2007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 Нещерет Л.Г. Хочу быть лидером! Выпуск 4.-Н. Новгород: изд-во ООО «Педагогические технологии», 2006. </w:t>
      </w:r>
      <w:r/>
    </w:p>
    <w:p>
      <w:pPr>
        <w:ind w:firstLine="709"/>
        <w:jc w:val="both"/>
        <w:spacing w:lineRule="auto" w:line="360" w:after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8"/>
        </w:rPr>
        <w:t xml:space="preserve">4. Организация досуговых, творческих и игровых мероприятий в летнем лагере. С.И.Лобачева. Москва: ВАКО, 2007 г</w:t>
      </w:r>
      <w:r/>
    </w:p>
    <w:sectPr>
      <w:footerReference w:type="default" r:id="rId9"/>
      <w:footnotePr/>
      <w:endnotePr/>
      <w:type w:val="nextPage"/>
      <w:pgSz w:w="16838" w:h="11906" w:orient="landscape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861506505"/>
      <w:docPartObj>
        <w:docPartGallery w:val="Page Numbers (Bottom of Page)"/>
        <w:docPartUnique w:val="true"/>
      </w:docPartObj>
      <w:rPr/>
    </w:sdtPr>
    <w:sdtContent>
      <w:p>
        <w:pPr>
          <w:pStyle w:val="691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69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isLgl w:val="false"/>
      <w:suff w:val="tab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0"/>
    <w:next w:val="68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0"/>
    <w:next w:val="6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0"/>
    <w:next w:val="6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0"/>
    <w:next w:val="6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0"/>
    <w:next w:val="6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0"/>
    <w:next w:val="6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0"/>
    <w:next w:val="6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0"/>
    <w:next w:val="6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0"/>
    <w:next w:val="6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0"/>
    <w:next w:val="6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1"/>
    <w:link w:val="32"/>
    <w:uiPriority w:val="10"/>
    <w:rPr>
      <w:sz w:val="48"/>
      <w:szCs w:val="48"/>
    </w:rPr>
  </w:style>
  <w:style w:type="paragraph" w:styleId="34">
    <w:name w:val="Subtitle"/>
    <w:basedOn w:val="680"/>
    <w:next w:val="6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1"/>
    <w:link w:val="34"/>
    <w:uiPriority w:val="11"/>
    <w:rPr>
      <w:sz w:val="24"/>
      <w:szCs w:val="24"/>
    </w:rPr>
  </w:style>
  <w:style w:type="paragraph" w:styleId="36">
    <w:name w:val="Quote"/>
    <w:basedOn w:val="680"/>
    <w:next w:val="6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0"/>
    <w:next w:val="680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1"/>
    <w:link w:val="689"/>
    <w:uiPriority w:val="99"/>
  </w:style>
  <w:style w:type="character" w:styleId="43">
    <w:name w:val="Footer Char"/>
    <w:basedOn w:val="681"/>
    <w:link w:val="691"/>
    <w:uiPriority w:val="99"/>
  </w:style>
  <w:style w:type="paragraph" w:styleId="44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91"/>
    <w:uiPriority w:val="99"/>
  </w:style>
  <w:style w:type="table" w:styleId="46">
    <w:name w:val="Table Grid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1"/>
    <w:uiPriority w:val="99"/>
    <w:unhideWhenUsed/>
    <w:rPr>
      <w:vertAlign w:val="superscript"/>
    </w:rPr>
  </w:style>
  <w:style w:type="paragraph" w:styleId="176">
    <w:name w:val="endnote text"/>
    <w:basedOn w:val="68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1"/>
    <w:uiPriority w:val="99"/>
    <w:semiHidden/>
    <w:unhideWhenUsed/>
    <w:rPr>
      <w:vertAlign w:val="superscript"/>
    </w:rPr>
  </w:style>
  <w:style w:type="paragraph" w:styleId="179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Normal (Web)"/>
    <w:basedOn w:val="680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5">
    <w:name w:val="List Paragraph"/>
    <w:basedOn w:val="680"/>
    <w:qFormat/>
    <w:uiPriority w:val="34"/>
    <w:rPr>
      <w:rFonts w:ascii="Times New Roman" w:hAnsi="Times New Roman" w:cs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character" w:styleId="686" w:customStyle="1">
    <w:name w:val="c4"/>
    <w:basedOn w:val="681"/>
  </w:style>
  <w:style w:type="character" w:styleId="687" w:customStyle="1">
    <w:name w:val="c1"/>
    <w:basedOn w:val="681"/>
  </w:style>
  <w:style w:type="paragraph" w:styleId="688" w:customStyle="1">
    <w:name w:val="c0"/>
    <w:basedOn w:val="68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9">
    <w:name w:val="Header"/>
    <w:basedOn w:val="680"/>
    <w:link w:val="690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0" w:customStyle="1">
    <w:name w:val="Верхний колонтитул Знак"/>
    <w:basedOn w:val="681"/>
    <w:link w:val="689"/>
    <w:uiPriority w:val="99"/>
  </w:style>
  <w:style w:type="paragraph" w:styleId="691">
    <w:name w:val="Footer"/>
    <w:basedOn w:val="680"/>
    <w:link w:val="692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92" w:customStyle="1">
    <w:name w:val="Нижний колонтитул Знак"/>
    <w:basedOn w:val="681"/>
    <w:link w:val="691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Nadezhda Oparova</cp:lastModifiedBy>
  <cp:revision>25</cp:revision>
  <dcterms:created xsi:type="dcterms:W3CDTF">2021-06-01T16:29:00Z</dcterms:created>
  <dcterms:modified xsi:type="dcterms:W3CDTF">2021-06-09T08:03:42Z</dcterms:modified>
</cp:coreProperties>
</file>