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«Ярославская школа № 38»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___№26___________                                                                                                                                                   №__01-10/466_от_15.10.2020__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директор школы №38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Е.Г.Кислова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Рабочая программа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по предмету «Окружающий природный мир»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в  3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Б классе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Белкина Полина Алексеевна            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(ФИО учителя)                                (подпись)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right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г. Ярославль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_______2020-2021___учебный год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ind w:firstLine="567"/>
        <w:jc w:val="center"/>
        <w:rPr>
          <w:rFonts w:ascii="Times New Roman" w:hAnsi="Times New Roman" w:cs="Times New Roman" w:eastAsia="Times New Roman"/>
          <w:b/>
          <w:bCs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ind w:firstLine="567"/>
        <w:jc w:val="center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ОЯСНИТЕЛЬНАЯ ЗАПИСКА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Рабочая программа по предмету «Окружающий природный мир» для обучающихся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- 20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уч.г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Программа учитывает особенности  учащихся, направлена на всестороннее развитие личности учащихся, формирование представлений об окружающем природном мире и умении ориентироваться в нем.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Курс «Окружающий природный мир»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основе сведений о живой и неживой природе.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Цель обучения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Задачи: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Содержание предмета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представлено следующими разделами: «Растительный мир», «Животный мир», «Временные представления», «Объекты неживой природы».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Всего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на предме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т «Окружающий природный мир» в 3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68 часов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. Программа рассчитана на 2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учебных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часа в неделю: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        1 четверть –18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        2 четверть –14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        3 четверть – 22 урока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               4 четверть – 14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уроков.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Базовыми учебными действиями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изучения предмета 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б классе являются: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4"/>
        </w:numPr>
        <w:contextualSpacing w:val="true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Установление контакта с педагогом;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заданий по образцу;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простых речевых инструкций: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смотри;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повтори;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соотнеси;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нарисуй;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- сравни.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3"/>
        </w:numPr>
        <w:contextualSpacing w:val="true"/>
        <w:ind w:left="709"/>
        <w:spacing w:lineRule="auto" w:line="25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Принятие помощи взрослого.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Личностные результаты: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1"/>
        </w:numPr>
        <w:contextualSpacing w:val="false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уважительного отношения к окружающему природному миру;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1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мотивов учебной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1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самостоятельности и личной ответственности за свои поступки при общении с окружающим природным миром;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1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Развитие доброжелательности и сопереживания.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Предметные результаты: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2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временах года, природных явлениях;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2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деревьях, ягодах и фруктах, грибах, овощах;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2"/>
        </w:numPr>
        <w:contextualSpacing w:val="false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Формирование представлений о диких и домашних животных.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Материально-техническое оснащение учебного предмета: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объекты природы: фрукты, ягоды, овощи, гербарий (в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т.ч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фруктов, грибов;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различные календари; изображения сезонных изменений в природе; раздаточный материал с изображением различных объектов природы для раскрашивания, вырезания, наклеивания и другой материал.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Система контроля и критерии оценки уровня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обученности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 учащихся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 Программа имеет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безотметочную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 систему прохождения материала.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tbl>
      <w:tblPr>
        <w:tblStyle w:val="824"/>
        <w:tblpPr w:horzAnchor="margin" w:tblpXSpec="left" w:vertAnchor="text" w:tblpY="167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2527"/>
        <w:gridCol w:w="2460"/>
        <w:gridCol w:w="22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52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60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43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52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6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Диагностика уровня развития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«Окружающему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природному миру» на начало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43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1-2 неделя сентября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137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52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60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Творческие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43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1375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527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460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Диагностика уровня развития по «Окружающему природному миру» 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конец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43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contextualSpacing w:val="true"/>
        <w:ind w:left="100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  <w:t xml:space="preserve">  Текущая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курса «Окружающий     природный мир», включенного в СИПР.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  <w:t xml:space="preserve">Промежуточная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курса «Окружающий природный мир»,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ind w:left="-567"/>
        <w:spacing w:lineRule="auto" w:line="360"/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  <w:t xml:space="preserve">Показатели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  <w:szCs w:val="24"/>
          <w:lang w:eastAsia="ru-RU"/>
        </w:rPr>
        <w:t xml:space="preserve">оценки достижений обучающихся планируемых результатов освоения курса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действие выполняется взрослым (ребенок позволяет что-либо сделать с ним) – 1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 значительной помощью взрослого – 2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 частичной помощью взрослого - 3 балл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подражанию (П)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образцу (О)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с ошибками - 4 баллов</w:t>
      </w:r>
      <w:r/>
    </w:p>
    <w:p>
      <w:pPr>
        <w:pStyle w:val="822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без ошибок – 5 баллов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  <w:t xml:space="preserve">Список литературы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tbl>
      <w:tblPr>
        <w:tblStyle w:val="825"/>
        <w:tblpPr w:horzAnchor="margin" w:tblpXSpec="left" w:vertAnchor="text" w:tblpY="137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2102"/>
        <w:gridCol w:w="2315"/>
        <w:gridCol w:w="1723"/>
        <w:gridCol w:w="1882"/>
        <w:gridCol w:w="1323"/>
      </w:tblGrid>
      <w:tr>
        <w:trPr>
          <w:trHeight w:val="387"/>
        </w:trPr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Издательство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Год издания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Учебник для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общеобразоват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 организаций, реализующих адаптивные основные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общеобразоват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 программы «Мир природы и человека»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Матвеева Н. Б.,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Ярочкина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И.А, Попова М. 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Рабочая тетрадь: Я-говорю!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Ребенок в школе. Упражнения с пиктограммами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Баряева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Л.Б., Лопатина Л. В., Логинова Е. 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Дрофа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2008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Рабочая тетрадь: Я-говорю!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Ребенок и его дом. Упражнения с пиктограммами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Баряева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Л.Б., Лопатина Л. В., Логинова Е. 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Дрофа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2008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сециальных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(коррекционных)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вида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Подготовительный, 1-4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Воронкова В. 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Программа образования учащихся с умеренной и тяжелой умственной отсталостью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Л.Б., Яковлева Н. Н.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8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ЦДК проф.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Примечание : в случае перехода школы на дистанционное обучение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,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все уроки по программе 8  класса с учащимся  будут проходить на цифровой платформе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Вайбер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Формы работы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: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  <w:t xml:space="preserve">  видео беседы, видео уроки, мастер-классы.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1068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tabs>
          <w:tab w:val="left" w:pos="3285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rPr>
          <w:rFonts w:ascii="Times New Roman" w:hAnsi="Times New Roman" w:cs="Times New Roman" w:eastAsia="Times New Roman"/>
          <w:bCs/>
          <w:iCs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  <w:t xml:space="preserve">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  <w:highlight w:val="none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color w:val="000000"/>
          <w:sz w:val="24"/>
          <w:szCs w:val="52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52"/>
        </w:rPr>
      </w:r>
      <w:r/>
    </w:p>
    <w:p>
      <w:pPr>
        <w:ind w:right="141"/>
        <w:jc w:val="center"/>
        <w:rPr>
          <w:rFonts w:ascii="Times New Roman" w:hAnsi="Times New Roman" w:cs="Times New Roman" w:eastAsia="Times New Roman"/>
          <w:b/>
          <w:i w:val="false"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i w:val="false"/>
          <w:color w:val="000000" w:themeColor="text1"/>
          <w:sz w:val="24"/>
          <w:szCs w:val="52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i w:val="false"/>
          <w:iCs/>
          <w:color w:val="000000" w:themeColor="text1"/>
          <w:sz w:val="24"/>
          <w:szCs w:val="32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bCs/>
          <w:i w:val="false"/>
          <w:iCs/>
          <w:color w:val="000000" w:themeColor="text1"/>
          <w:sz w:val="24"/>
          <w:szCs w:val="32"/>
        </w:rPr>
        <w:t xml:space="preserve">-т</w:t>
      </w:r>
      <w:r>
        <w:rPr>
          <w:rFonts w:ascii="Times New Roman" w:hAnsi="Times New Roman" w:cs="Times New Roman" w:eastAsia="Times New Roman"/>
          <w:b/>
          <w:bCs/>
          <w:i w:val="false"/>
          <w:iCs/>
          <w:color w:val="000000" w:themeColor="text1"/>
          <w:sz w:val="24"/>
          <w:szCs w:val="32"/>
        </w:rPr>
        <w:t xml:space="preserve">ематическое планирование по предмету</w:t>
      </w:r>
      <w:r>
        <w:rPr>
          <w:rFonts w:ascii="Times New Roman" w:hAnsi="Times New Roman" w:cs="Times New Roman" w:eastAsia="Times New Roman"/>
          <w:b/>
          <w:bCs/>
          <w:i w:val="false"/>
          <w:iCs/>
          <w:color w:val="000000" w:themeColor="text1"/>
          <w:sz w:val="24"/>
          <w:szCs w:val="32"/>
        </w:rPr>
        <w:t xml:space="preserve">  «Окружающий природный мир»</w:t>
      </w:r>
      <w:r>
        <w:rPr>
          <w:rFonts w:ascii="Times New Roman" w:hAnsi="Times New Roman" w:cs="Times New Roman" w:eastAsia="Times New Roman"/>
          <w:i w:val="false"/>
          <w:color w:val="000000" w:themeColor="text1"/>
          <w:sz w:val="24"/>
        </w:rPr>
      </w:r>
      <w:r/>
    </w:p>
    <w:tbl>
      <w:tblPr>
        <w:tblStyle w:val="826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260"/>
        <w:gridCol w:w="6236"/>
        <w:gridCol w:w="992"/>
        <w:gridCol w:w="5528"/>
      </w:tblGrid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Наименования разделов и тем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Виды учебной деятельности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 1 четверть 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Сезонные изменения в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 природе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осенние месяцы.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иллюстрации осени, называние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Осенних месяцев. Раскрашивание иллюстраций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Изменения в природе осенью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Беседа о приметах осени , просмотр обучающего мультфильм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/И «так не бывает».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3-4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и животные осенью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жизни животных и растений осенью.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Зима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зимние месяцы.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зимы. Называние зимних месяцев.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Изменения в природе зимой.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приметах зимы. Просмотр обучающего мультфильма. Д/И «Что не так»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7-8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зимой, поведения животных зимой.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жизни животных и растений зимой.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весенние месяцы.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весны, называние весенних месяцев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отгадывание загадок,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«Времена года», рисование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Изменения в природе весной.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весны.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 называние примет весны.,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11-12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весной, животные весной.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жизни растений и животных весной, просмотр видеокадров,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Лето, летние месяцы.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Рассматривание иллюстраций лета. Название летних месяцев.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Изменения в природе летом.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лета, называние примет лета,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15-16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Растение и животные весной.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жизни животных и растений весной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росмотр видео кадров.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Растительный мир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сравнение растений , Дерево, куст, трава.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 дерева, куста, травы. Раскрашивание иллюстраций, отгадывание загадки.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Части дерева: корень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 иллюстрации дерева, Название частей дерева. Беседа о пользе корней деревьев.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2 четверть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r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Части дерева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ствол ветки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 дерева. Называние частей дерева.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Части дерева. Листья. Сравнение листьев деревьев.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листьях рассматривание листьев с разных деревьев, сравнение. Раскрашивание  листьев.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Части дерева плоды цветы.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строении дерева, просмотр картинок с плодами деревьев,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сада, фруктовые,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внешний вид, распознавание.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фруктовых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деревьях, рассматривание фруктов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,,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сада, ягодные кустарники, внешний вид. Распознавание Ягоды.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кустарников и ягод,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Лес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растения леса.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леса. Беседа о растениях леса, раскрашивание картинок.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Деревья хвойные и лиственные.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иллюстрации хвойных и лиственных деревьев,  сравнение.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Травы, цветы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цветов и трав. Сравнение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раскрашивание. Отгадывание загадок про цветы.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Лесные и полевые цветы.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цветов сравнение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раскрашивание. Аппликация.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Садовые цветы.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 садовых цветов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раскрашиван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ие</w:t>
            </w:r>
            <w:bookmarkStart w:id="0" w:name="_GoBack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, лепка из пластилина розы.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Грибы. Съедобные и несъедобные грибы. Польза для человека и животных.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изображения гриба, муляжей, беседа о строении гриба, о значении грибов в жизни людей и животных, о съедобных и несъедобных грибах,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Семена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Шишки.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семян и шишек, лепка шишки из пластилина.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Орехи и желуди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 орехов и желудей, муляжей, польза для человека, раскрашивание,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Обобщающий урок  Растительный мир.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фруктов, ягод, трав, цветов, орехов. Отгадывание загадок, Д/И Лото.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«Корзины»,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36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36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6"/>
              </w:rPr>
              <w:t xml:space="preserve">3 четверть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Животный мир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Дикие животные.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животных, беседа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их внешнем виде, о том где они живут,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поведения с животными, просмотр мультфильма: «Уроки тетушки Совы. Дикие и домашние животные», рисование животного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.Дикие обитатели леса, кабан. Внешний вид, питание, образ жизни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детеныши.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кабана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анализ его  внешнего вида, строение тела кабана, , детеныш кабана –поросенок,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«Что любят животные»,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Дикие обитатели леса.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ось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Рассматривание иллюстраций изображение лося, анализ их внешнего вида, строение тела лося,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«Что любят животные», лепка из пластилина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21.01.2021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Дикие обитатели леса. Заяц.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зайца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анализ его внешнего вида, строение тела зайца,  лепка зайца из пластилина.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Приспособление диких животных к природным условиям.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животных, обсуждение повадок диких животных.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28.01.2021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Домашние животные. Свинья.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свиньи, анализ её  внешнего вида, строение тела  волка, Сравнение свиньи с кабаном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«Что любят животные», лепка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Домашние животные корова. Внешний вид, питание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польза.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коровы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пользе молока. Внешний вид, строение тела коровы.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«Что любят животные», лепка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Домашнее животное кролик.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кролика, анализ его внешнего вида, строение тела  кролика, сравнение кролика и зайца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детеныши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Уход за домашними животными.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животных, отгадывание загадок, беседа о правилах ухода за домашними животными.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Сравнение диких и домашних животных.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диких и домашних животных. Д/И «лото».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Птицы. Строение птиц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внешний вид, образ жизни.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птиц, обсуждение строения их тела, раскрашивание птицы, лепка птицы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Строение гнёзд, забота о потомстве.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птиц. Рассматривание видео иллюстраций с видами птичьих  гнезд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Перелетные птицы.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картинок с перелетными птицами, узнавание и название птиц.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Зимующие птицы.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иллюстрации с изображением зимующих птиц, узнавание и называние птиц, раскрашивание. Динамическая игра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попробуй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угадай»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01.03.2021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Хищные птицы.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иллюстрации с изображением хищных птиц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04.03.2021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Певчие птицы.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певчих птиц, прослушивание голосов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птиц.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Насекомые.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 название насекомых.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Жуки.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картинок с изображением жуков,  строение тела жуков.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Бабочки.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картинок с изображением жуков. Строение тела бабочки, лепка бабочки.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22.03.2021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Солнце и луна.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солнца и луны, значение солнца для людей. Аппликация  солнце.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Планета и звезды.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звездного неба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планет.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4 четверть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</w:r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Глобус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модель земли.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Знакомство с глобусом, рассматривание  глобуса. Раскрашивание.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Воздух, значение воздуха.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значении воздуха. Просмотр обучающего видео 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Ветер.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ветра,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Термометр.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термометре. Рассматривание изображения термометра.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19.04.2021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Вода.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воды, Беседа о пользе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59-60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22.04.2021, 26.04.2021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Песок. Свойства песка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песка, использование песка человеком. Работа с песком.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Земля и глина. Сходства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различия.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глины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песка, значения для человека, сравнение.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Обобщение:  неживая природа.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пройденном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материала, рассматривание  иллюстраций.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5"/>
            <w:tcW w:w="147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Временные представления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Части суток. Утро, день, вечер, ночь.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разного времени суток, соотнесение части суток с действием, последовательное составление частей суток,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«Сутки»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17.05.2021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Распорядок дня школьника.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действий в разное  времени суток, составление распорядка дня школьника,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Дни недели.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 с изображением дней недели, называние дней недели.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24.05.2021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Лето. Игры и забавы.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Рассматривание иллюстраций, Беседа, как я проведу лето.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6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67-68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27.05.2021, 31.05.2021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23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Повторение пройденного материала. Обобщающий урок.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пройденном материале. Игра «я это знаю»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Итого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68 часов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59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3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32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3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32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4"/>
          <w:szCs w:val="3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32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lineRule="auto" w:line="276" w:after="200"/>
    </w:p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822">
    <w:name w:val="List Paragraph"/>
    <w:basedOn w:val="817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table" w:styleId="824" w:customStyle="1">
    <w:name w:val="Сетка таблицы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етка таблицы2"/>
    <w:basedOn w:val="819"/>
    <w:next w:val="82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Белкина</cp:lastModifiedBy>
  <cp:revision>4</cp:revision>
  <dcterms:modified xsi:type="dcterms:W3CDTF">2021-05-28T13:01:24Z</dcterms:modified>
</cp:coreProperties>
</file>